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EC" w:rsidRP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color w:val="1A1A1A"/>
          <w:sz w:val="28"/>
          <w:szCs w:val="28"/>
        </w:rPr>
      </w:pPr>
      <w:r w:rsidRPr="00C513EC">
        <w:rPr>
          <w:rFonts w:ascii="Arial" w:hAnsi="Arial" w:cs="Arial"/>
          <w:b/>
          <w:bCs/>
          <w:color w:val="1A1A1A"/>
          <w:sz w:val="28"/>
          <w:szCs w:val="28"/>
        </w:rPr>
        <w:t>Sydney - Culture of place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jc w:val="center"/>
        <w:rPr>
          <w:rFonts w:ascii="Arial" w:hAnsi="Arial" w:cs="Arial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jc w:val="center"/>
        <w:rPr>
          <w:rFonts w:ascii="Arial" w:hAnsi="Arial" w:cs="Arial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Use the words from the word bank to fill in the blanks: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sz w:val="26"/>
          <w:szCs w:val="26"/>
        </w:rPr>
      </w:pPr>
    </w:p>
    <w:tbl>
      <w:tblPr>
        <w:tblStyle w:val="TableGrid"/>
        <w:tblW w:w="10476" w:type="dxa"/>
        <w:tblInd w:w="-9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2"/>
        <w:gridCol w:w="2693"/>
        <w:gridCol w:w="2429"/>
      </w:tblGrid>
      <w:tr w:rsidR="00C513EC" w:rsidTr="008410B0">
        <w:trPr>
          <w:trHeight w:val="310"/>
        </w:trPr>
        <w:tc>
          <w:tcPr>
            <w:tcW w:w="2802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developments</w:t>
            </w:r>
            <w:proofErr w:type="gramEnd"/>
          </w:p>
        </w:tc>
        <w:tc>
          <w:tcPr>
            <w:tcW w:w="2552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architectural</w:t>
            </w:r>
            <w:proofErr w:type="gramEnd"/>
          </w:p>
        </w:tc>
        <w:tc>
          <w:tcPr>
            <w:tcW w:w="2693" w:type="dxa"/>
          </w:tcPr>
          <w:p w:rsidR="00C513EC" w:rsidRPr="00C513EC" w:rsidRDefault="00C513EC" w:rsidP="00C513EC">
            <w:pPr>
              <w:widowControl w:val="0"/>
              <w:autoSpaceDE w:val="0"/>
              <w:autoSpaceDN w:val="0"/>
              <w:adjustRightInd w:val="0"/>
              <w:ind w:left="34"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knock</w:t>
            </w:r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>-down</w:t>
            </w:r>
          </w:p>
        </w:tc>
        <w:tc>
          <w:tcPr>
            <w:tcW w:w="2429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immigration</w:t>
            </w:r>
            <w:proofErr w:type="gramEnd"/>
          </w:p>
        </w:tc>
      </w:tr>
      <w:tr w:rsidR="00C513EC" w:rsidTr="008410B0">
        <w:trPr>
          <w:trHeight w:val="310"/>
        </w:trPr>
        <w:tc>
          <w:tcPr>
            <w:tcW w:w="2802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formal</w:t>
            </w:r>
            <w:proofErr w:type="gramEnd"/>
          </w:p>
        </w:tc>
        <w:tc>
          <w:tcPr>
            <w:tcW w:w="2552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restored</w:t>
            </w:r>
            <w:proofErr w:type="gramEnd"/>
          </w:p>
        </w:tc>
        <w:tc>
          <w:tcPr>
            <w:tcW w:w="2693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homogeneous</w:t>
            </w:r>
            <w:proofErr w:type="gramEnd"/>
          </w:p>
        </w:tc>
        <w:tc>
          <w:tcPr>
            <w:tcW w:w="2429" w:type="dxa"/>
          </w:tcPr>
          <w:p w:rsidR="00C513E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middle</w:t>
            </w:r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>-ring</w:t>
            </w:r>
          </w:p>
        </w:tc>
      </w:tr>
      <w:tr w:rsidR="00C513EC" w:rsidTr="008410B0">
        <w:trPr>
          <w:trHeight w:val="333"/>
        </w:trPr>
        <w:tc>
          <w:tcPr>
            <w:tcW w:w="2802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heritage</w:t>
            </w:r>
            <w:proofErr w:type="gramEnd"/>
          </w:p>
        </w:tc>
        <w:tc>
          <w:tcPr>
            <w:tcW w:w="2552" w:type="dxa"/>
          </w:tcPr>
          <w:p w:rsidR="00C513EC" w:rsidRDefault="00C513EC" w:rsidP="008A4D6C">
            <w:pPr>
              <w:widowControl w:val="0"/>
              <w:autoSpaceDE w:val="0"/>
              <w:autoSpaceDN w:val="0"/>
              <w:adjustRightInd w:val="0"/>
              <w:ind w:left="34"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altered</w:t>
            </w:r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</w:p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unsympathetic</w:t>
            </w:r>
            <w:proofErr w:type="gramEnd"/>
          </w:p>
        </w:tc>
        <w:tc>
          <w:tcPr>
            <w:tcW w:w="2429" w:type="dxa"/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aluminium</w:t>
            </w:r>
            <w:proofErr w:type="spellEnd"/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ab/>
              <w:t xml:space="preserve"> </w:t>
            </w:r>
          </w:p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ab/>
        <w:t xml:space="preserve"> </w:t>
      </w:r>
    </w:p>
    <w:p w:rsidR="00C513EC" w:rsidRDefault="00C513EC" w:rsidP="008A4D6C">
      <w:pPr>
        <w:widowControl w:val="0"/>
        <w:autoSpaceDE w:val="0"/>
        <w:autoSpaceDN w:val="0"/>
        <w:adjustRightInd w:val="0"/>
        <w:spacing w:line="276" w:lineRule="auto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Pr="008410B0" w:rsidRDefault="00C513EC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  <w:r w:rsidRPr="008410B0">
        <w:rPr>
          <w:rFonts w:ascii="Arial" w:hAnsi="Arial" w:cs="Arial"/>
          <w:b/>
          <w:bCs/>
          <w:sz w:val="28"/>
          <w:szCs w:val="28"/>
        </w:rPr>
        <w:t>Architecture</w:t>
      </w:r>
    </w:p>
    <w:p w:rsidR="00C513EC" w:rsidRDefault="00C513EC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The city of Sydney has many buildings with relatively modern, distinctive architectural styles such as the Sydney Opera House and the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Harbour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Bridge,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however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style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architecture as one of the distinctive features of city.  </w:t>
      </w:r>
    </w:p>
    <w:p w:rsidR="00C513EC" w:rsidRDefault="00C513EC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Many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housing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on the outskirts of Sydney since the 1980s have been constructed by the project home industry. Project homes are also a common option for “…………………..rebuild” properties in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the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suburbs. Designed for the average family, these homes are typically very large in size, take up a large proportion of available land, and tend to provide more space per person than any other affordable housing type in Sydney’s history. They tend to blend a range of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different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styles, and offer exterior aesthetics based on a “contemporary”, “classic” or “heritage” look. They can consist of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living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room, a rumpus room, a formal lounge, 4 or 5 bedrooms, a grand entrance, and often a central staircase. These constructions tend to create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neighbourhood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C513EC" w:rsidRDefault="00C513EC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 inner and middle-ring Sydney suburbs it is very common for homes to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be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rather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than knocked down. Evidence of various waves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of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after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1950 can be seen in the alterations made to some older homes. For example in Roseberry, Greek, Italian and later Middle Eastern migrants made changes to homes which are now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deemed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to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the architectural heritage of the area. These included the construction of columns, balustrades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,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windows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and cement rendering. More recently it has become commonplace for the front façade of older home to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be 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>, while the back end of the home is almost entirely opened-up to allow for seamless integration of the outside   </w:t>
      </w:r>
    </w:p>
    <w:p w:rsidR="00D707E1" w:rsidRDefault="00D707E1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D707E1" w:rsidRDefault="00D707E1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D707E1" w:rsidRDefault="00D707E1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D707E1" w:rsidRPr="008A4D6C" w:rsidRDefault="00D707E1" w:rsidP="00D707E1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</w:rPr>
      </w:pPr>
    </w:p>
    <w:p w:rsidR="008A4D6C" w:rsidRDefault="008A4D6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</w:rPr>
      </w:pPr>
    </w:p>
    <w:tbl>
      <w:tblPr>
        <w:tblStyle w:val="TableGrid"/>
        <w:tblW w:w="10296" w:type="dxa"/>
        <w:tblInd w:w="-9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A4D6C" w:rsidTr="008410B0">
        <w:trPr>
          <w:trHeight w:val="280"/>
        </w:trPr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abattoirs</w:t>
            </w:r>
            <w:proofErr w:type="gramEnd"/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verandahs</w:t>
            </w:r>
            <w:proofErr w:type="gramEnd"/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Paddington</w:t>
            </w:r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Parramatta</w:t>
            </w:r>
          </w:p>
        </w:tc>
      </w:tr>
      <w:tr w:rsidR="008A4D6C" w:rsidTr="008410B0">
        <w:trPr>
          <w:trHeight w:val="300"/>
        </w:trPr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workers</w:t>
            </w:r>
            <w:proofErr w:type="gramEnd"/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constructed</w:t>
            </w:r>
            <w:proofErr w:type="gramEnd"/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society</w:t>
            </w:r>
            <w:proofErr w:type="gramEnd"/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Surry Hills</w:t>
            </w:r>
          </w:p>
        </w:tc>
      </w:tr>
      <w:tr w:rsidR="008A4D6C" w:rsidTr="008410B0">
        <w:trPr>
          <w:trHeight w:val="300"/>
        </w:trPr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inner</w:t>
            </w:r>
            <w:proofErr w:type="gramEnd"/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oldest</w:t>
            </w:r>
            <w:proofErr w:type="gramEnd"/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demolished</w:t>
            </w:r>
            <w:proofErr w:type="gramEnd"/>
          </w:p>
        </w:tc>
        <w:tc>
          <w:tcPr>
            <w:tcW w:w="2574" w:type="dxa"/>
          </w:tcPr>
          <w:p w:rsidR="008A4D6C" w:rsidRDefault="008A4D6C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traditionally</w:t>
            </w:r>
            <w:proofErr w:type="gramEnd"/>
          </w:p>
        </w:tc>
      </w:tr>
    </w:tbl>
    <w:p w:rsidR="00C513EC" w:rsidRDefault="00C513EC" w:rsidP="008A4D6C">
      <w:pPr>
        <w:widowControl w:val="0"/>
        <w:autoSpaceDE w:val="0"/>
        <w:autoSpaceDN w:val="0"/>
        <w:adjustRightInd w:val="0"/>
        <w:ind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8A4D6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Architecture - </w:t>
      </w:r>
      <w:r w:rsidR="00C513EC">
        <w:rPr>
          <w:rFonts w:ascii="Arial" w:hAnsi="Arial" w:cs="Arial"/>
          <w:b/>
          <w:bCs/>
          <w:color w:val="1A1A1A"/>
          <w:sz w:val="26"/>
          <w:szCs w:val="26"/>
        </w:rPr>
        <w:t>Sydney Suburbs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The </w:t>
      </w:r>
      <w:r w:rsidR="008A4D6C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A4D6C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buildings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in Sydney are located in and around </w:t>
      </w:r>
      <w:r w:rsidR="008A4D6C">
        <w:rPr>
          <w:rFonts w:ascii="Arial" w:hAnsi="Arial" w:cs="Arial"/>
          <w:color w:val="1A1A1A"/>
          <w:sz w:val="26"/>
          <w:szCs w:val="26"/>
        </w:rPr>
        <w:t xml:space="preserve">…………………..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including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Old Government House and Experiment Farm, and Elizabeth Farm in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Rosehill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Terrace houses were a feature of Sydney from the 1830s and are seen in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the </w:t>
      </w:r>
      <w:r w:rsidR="008A4D6C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A4D6C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suburbs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. They are common in suburbs such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as </w:t>
      </w:r>
      <w:r w:rsidR="008A4D6C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, The Rocks, Ultimo,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Kirribilli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Balmain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Newtown,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Bondi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Junction, Milsons Point, Forest Lodge, North Sydney, Glebe, Surry Hills, Alexandria,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Redfern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Leichhardt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Erskinville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Darlinghurst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. Terrace houses were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usually </w:t>
      </w:r>
      <w:r w:rsidR="008A4D6C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A4D6C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in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rows, and most commonly were two stories. They were </w:t>
      </w:r>
      <w:r w:rsidR="008A4D6C">
        <w:rPr>
          <w:rFonts w:ascii="Arial" w:hAnsi="Arial" w:cs="Arial"/>
          <w:color w:val="1A1A1A"/>
          <w:sz w:val="26"/>
          <w:szCs w:val="26"/>
        </w:rPr>
        <w:t>often decorated with filigree or</w:t>
      </w:r>
      <w:r>
        <w:rPr>
          <w:rFonts w:ascii="Arial" w:hAnsi="Arial" w:cs="Arial"/>
          <w:color w:val="1A1A1A"/>
          <w:sz w:val="26"/>
          <w:szCs w:val="26"/>
        </w:rPr>
        <w:t xml:space="preserve"> cast-iron or wrought iron, parapets, and detailed dividing walls.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8A4D6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………………….. </w:t>
      </w:r>
      <w:proofErr w:type="gramStart"/>
      <w:r w:rsidR="00C513EC">
        <w:rPr>
          <w:rFonts w:ascii="Arial" w:hAnsi="Arial" w:cs="Arial"/>
          <w:color w:val="1A1A1A"/>
          <w:sz w:val="26"/>
          <w:szCs w:val="26"/>
        </w:rPr>
        <w:t>cottages</w:t>
      </w:r>
      <w:proofErr w:type="gramEnd"/>
      <w:r w:rsidR="00C513EC">
        <w:rPr>
          <w:rFonts w:ascii="Arial" w:hAnsi="Arial" w:cs="Arial"/>
          <w:color w:val="1A1A1A"/>
          <w:sz w:val="26"/>
          <w:szCs w:val="26"/>
        </w:rPr>
        <w:t xml:space="preserve"> were popular in the Victorian period (1845-1900). These often had cast-iron lacework, bull-nosed verandahs or hipped roofs, and at times timber fretwork. Many timber cottages have </w:t>
      </w:r>
      <w:proofErr w:type="gramStart"/>
      <w:r w:rsidR="00C513EC">
        <w:rPr>
          <w:rFonts w:ascii="Arial" w:hAnsi="Arial" w:cs="Arial"/>
          <w:color w:val="1A1A1A"/>
          <w:sz w:val="26"/>
          <w:szCs w:val="26"/>
        </w:rPr>
        <w:t xml:space="preserve">been </w:t>
      </w:r>
      <w:r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C513EC">
        <w:rPr>
          <w:rFonts w:ascii="Arial" w:hAnsi="Arial" w:cs="Arial"/>
          <w:color w:val="1A1A1A"/>
          <w:sz w:val="26"/>
          <w:szCs w:val="26"/>
        </w:rPr>
        <w:t xml:space="preserve">, but many weatherboard cottages remain. Workers cottages developed at a time when industry was thriving in the city, and people were most likely to walk to work. They were common in inner city suburbs such as </w:t>
      </w:r>
      <w:proofErr w:type="spellStart"/>
      <w:r w:rsidR="00C513EC">
        <w:rPr>
          <w:rFonts w:ascii="Arial" w:hAnsi="Arial" w:cs="Arial"/>
          <w:color w:val="1A1A1A"/>
          <w:sz w:val="26"/>
          <w:szCs w:val="26"/>
        </w:rPr>
        <w:t>Leichhardt</w:t>
      </w:r>
      <w:proofErr w:type="spellEnd"/>
      <w:proofErr w:type="gramStart"/>
      <w:r w:rsidR="00C513EC">
        <w:rPr>
          <w:rFonts w:ascii="Arial" w:hAnsi="Arial" w:cs="Arial"/>
          <w:color w:val="1A1A1A"/>
          <w:sz w:val="26"/>
          <w:szCs w:val="26"/>
        </w:rPr>
        <w:t xml:space="preserve">, </w:t>
      </w:r>
      <w:r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C513EC"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 w:rsidR="00C513EC">
        <w:rPr>
          <w:rFonts w:ascii="Arial" w:hAnsi="Arial" w:cs="Arial"/>
          <w:color w:val="1A1A1A"/>
          <w:sz w:val="26"/>
          <w:szCs w:val="26"/>
        </w:rPr>
        <w:t>Redfern</w:t>
      </w:r>
      <w:proofErr w:type="spellEnd"/>
      <w:r w:rsidR="00C513EC">
        <w:rPr>
          <w:rFonts w:ascii="Arial" w:hAnsi="Arial" w:cs="Arial"/>
          <w:color w:val="1A1A1A"/>
          <w:sz w:val="26"/>
          <w:szCs w:val="26"/>
        </w:rPr>
        <w:t xml:space="preserve"> and </w:t>
      </w:r>
      <w:proofErr w:type="spellStart"/>
      <w:r w:rsidR="00C513EC">
        <w:rPr>
          <w:rFonts w:ascii="Arial" w:hAnsi="Arial" w:cs="Arial"/>
          <w:color w:val="1A1A1A"/>
          <w:sz w:val="26"/>
          <w:szCs w:val="26"/>
        </w:rPr>
        <w:t>Balmain</w:t>
      </w:r>
      <w:proofErr w:type="spellEnd"/>
      <w:r w:rsidR="00C513EC">
        <w:rPr>
          <w:rFonts w:ascii="Arial" w:hAnsi="Arial" w:cs="Arial"/>
          <w:color w:val="1A1A1A"/>
          <w:sz w:val="26"/>
          <w:szCs w:val="26"/>
        </w:rPr>
        <w:t xml:space="preserve">, but were also found in other suburbs nearby to industries. In </w:t>
      </w:r>
      <w:proofErr w:type="spellStart"/>
      <w:r w:rsidR="00C513EC">
        <w:rPr>
          <w:rFonts w:ascii="Arial" w:hAnsi="Arial" w:cs="Arial"/>
          <w:color w:val="1A1A1A"/>
          <w:sz w:val="26"/>
          <w:szCs w:val="26"/>
        </w:rPr>
        <w:t>Homebush</w:t>
      </w:r>
      <w:proofErr w:type="spellEnd"/>
      <w:r w:rsidR="00C513EC">
        <w:rPr>
          <w:rFonts w:ascii="Arial" w:hAnsi="Arial" w:cs="Arial"/>
          <w:color w:val="1A1A1A"/>
          <w:sz w:val="26"/>
          <w:szCs w:val="26"/>
        </w:rPr>
        <w:t xml:space="preserve">, workers cottages developed close to </w:t>
      </w:r>
      <w:proofErr w:type="gramStart"/>
      <w:r w:rsidR="00C513EC">
        <w:rPr>
          <w:rFonts w:ascii="Arial" w:hAnsi="Arial" w:cs="Arial"/>
          <w:color w:val="1A1A1A"/>
          <w:sz w:val="26"/>
          <w:szCs w:val="26"/>
        </w:rPr>
        <w:t xml:space="preserve">the </w:t>
      </w:r>
      <w:r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 w:rsidR="00C513EC">
        <w:rPr>
          <w:rFonts w:ascii="Arial" w:hAnsi="Arial" w:cs="Arial"/>
          <w:color w:val="1A1A1A"/>
          <w:sz w:val="26"/>
          <w:szCs w:val="26"/>
        </w:rPr>
        <w:t>and</w:t>
      </w:r>
      <w:proofErr w:type="gramEnd"/>
      <w:r w:rsidR="00C513EC">
        <w:rPr>
          <w:rFonts w:ascii="Arial" w:hAnsi="Arial" w:cs="Arial"/>
          <w:color w:val="1A1A1A"/>
          <w:sz w:val="26"/>
          <w:szCs w:val="26"/>
        </w:rPr>
        <w:t xml:space="preserve"> brickworks. Brick workers cottages became more popular as bricks became less expensive.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Federation architecture occurred between 1890-1915. Common features of these homes are decorative timber features, tall chimneys and roofs, fret work, Australian themes and </w:t>
      </w:r>
      <w:r w:rsidR="008A4D6C">
        <w:rPr>
          <w:rFonts w:ascii="Arial" w:hAnsi="Arial" w:cs="Arial"/>
          <w:color w:val="1A1A1A"/>
          <w:sz w:val="26"/>
          <w:szCs w:val="26"/>
        </w:rPr>
        <w:t>…………………..</w:t>
      </w:r>
      <w:r>
        <w:rPr>
          <w:rFonts w:ascii="Arial" w:hAnsi="Arial" w:cs="Arial"/>
          <w:color w:val="1A1A1A"/>
          <w:sz w:val="26"/>
          <w:szCs w:val="26"/>
        </w:rPr>
        <w:t xml:space="preserve">. A Federation home had a large garden, and was a sign of prosperity. Following the end of World War I, as a result of a lack of tradesmen and supplies, Federation Homes were seen as too extravagant and went into decline. Suburbs with examples of Federation homes include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Penshurst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Turramurra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Millers Point, however they are common in many areas as the availability of cars increased the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suburbanisation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of Sydney.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Californian Bungalows were constructed between approximately 1915 and 1945. These are defined by gabled roofs, pillars supporting a verandah, stone, brick and timber materials, and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are </w:t>
      </w:r>
      <w:r w:rsidR="008A4D6C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A4D6C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painted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in dark greens, reds and blues. Californian Bungalows are common in the suburbs of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Ashfield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Concord, Lane Cove,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Beecroft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Pennant Hills,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Coogee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Clovelly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and Parramatta. These houses reflected the changes that were occurring in the </w:t>
      </w:r>
      <w:r w:rsidR="008A4D6C">
        <w:rPr>
          <w:rFonts w:ascii="Arial" w:hAnsi="Arial" w:cs="Arial"/>
          <w:color w:val="1A1A1A"/>
          <w:sz w:val="26"/>
          <w:szCs w:val="26"/>
        </w:rPr>
        <w:t>…………………..</w:t>
      </w:r>
      <w:r>
        <w:rPr>
          <w:rFonts w:ascii="Arial" w:hAnsi="Arial" w:cs="Arial"/>
          <w:color w:val="1A1A1A"/>
          <w:sz w:val="26"/>
          <w:szCs w:val="26"/>
        </w:rPr>
        <w:t>. They were less pretentious than Federation houses, more accessible to the average person and lanes down the side of the house allowed space for a car. </w:t>
      </w:r>
    </w:p>
    <w:tbl>
      <w:tblPr>
        <w:tblStyle w:val="TableGrid"/>
        <w:tblW w:w="10656" w:type="dxa"/>
        <w:tblInd w:w="-9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D707E1" w:rsidTr="008410B0">
        <w:trPr>
          <w:trHeight w:val="335"/>
        </w:trPr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suburbs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shrines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prosperity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ethnic</w:t>
            </w:r>
            <w:proofErr w:type="gramEnd"/>
          </w:p>
        </w:tc>
      </w:tr>
      <w:tr w:rsidR="00D707E1" w:rsidTr="008410B0">
        <w:trPr>
          <w:trHeight w:val="359"/>
        </w:trPr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railway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facades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developments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uniform</w:t>
            </w:r>
            <w:proofErr w:type="gramEnd"/>
          </w:p>
        </w:tc>
      </w:tr>
      <w:tr w:rsidR="00D707E1" w:rsidTr="008410B0">
        <w:trPr>
          <w:trHeight w:val="359"/>
        </w:trPr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symbols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density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tree</w:t>
            </w:r>
            <w:proofErr w:type="gramEnd"/>
          </w:p>
        </w:tc>
        <w:tc>
          <w:tcPr>
            <w:tcW w:w="2664" w:type="dxa"/>
          </w:tcPr>
          <w:p w:rsidR="00D707E1" w:rsidRDefault="00D707E1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dominance</w:t>
            </w:r>
            <w:proofErr w:type="gramEnd"/>
          </w:p>
        </w:tc>
      </w:tr>
    </w:tbl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8A4D6C" w:rsidRDefault="008A4D6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</w:rPr>
      </w:pPr>
    </w:p>
    <w:p w:rsidR="00C513EC" w:rsidRPr="008410B0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  <w:r w:rsidRPr="008410B0">
        <w:rPr>
          <w:rFonts w:ascii="Arial" w:hAnsi="Arial" w:cs="Arial"/>
          <w:b/>
          <w:bCs/>
          <w:sz w:val="28"/>
          <w:szCs w:val="28"/>
        </w:rPr>
        <w:t>Streetscapes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Streetscapes vary greatly from suburb to suburb depending on factors such as age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,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>, land use, and ethnicity. 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Suburbs close to the city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centre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or parts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of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which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are close to major transport nodes are more likely to have streetscapes impacted by high densities housing developments. In older areas, this may mean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fairly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streetscapes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with blocks of 2 to 4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storey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red brick or cream unit blocks, limited trees, and garages visible from the street. In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newer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much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larger blocks of units are likely with many balconies facing towards the street, large driveways and some landscaping. 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Suburbs with distinct heritage features will often have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the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of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shop fronts preserved to reflect the period of development. An example of this is The Strand, the main street of Croydon, and nearby Edwin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st.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The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station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and commercial properties including the Croydon Post Office are considered significant buildings and have been preserved. The commercial streetscape is a broad shopping street with gardens running down the middle of the street. Shops have recessed balconies, semi-circular brick arches, parapets, stained glass and glazed, and ceramic tiles. A wide awning joins the shops together, and heritage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colours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are used. Homes in the Victorian, Federation and Californian Bungalow styles are common in nearby streets. Residential streetscap</w:t>
      </w:r>
      <w:r w:rsidR="00D707E1">
        <w:rPr>
          <w:rFonts w:ascii="Arial" w:hAnsi="Arial" w:cs="Arial"/>
          <w:color w:val="1A1A1A"/>
          <w:sz w:val="26"/>
          <w:szCs w:val="26"/>
        </w:rPr>
        <w:t xml:space="preserve">es in Croydon are dominated </w:t>
      </w:r>
      <w:proofErr w:type="gramStart"/>
      <w:r w:rsidR="00D707E1">
        <w:rPr>
          <w:rFonts w:ascii="Arial" w:hAnsi="Arial" w:cs="Arial"/>
          <w:color w:val="1A1A1A"/>
          <w:sz w:val="26"/>
          <w:szCs w:val="26"/>
        </w:rPr>
        <w:t>by 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lined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streets, chimney stacks, gables, and ridge capping. Homes are usually set back from the road, providing a uniform look along the street.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Suburbs with a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distinct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character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often have this reflected in the streetscape. Signs are often multi-lingual, and cultural symbols are often seen in architecture or public art works. The streetscape of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Cabramatta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reflects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the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of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Vietnamese and China culture. John Street, the main street, is dominated by the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Pailau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Chinese gateway, adorned with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Chinese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, and script in Chinese, Vietnamese, Khmer and English. Nearby a number of stone statues of animals line the main street. These animals, including dragons and lions, are considered in Chinese culture to bring luck and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r>
        <w:rPr>
          <w:rFonts w:ascii="Arial" w:hAnsi="Arial" w:cs="Arial"/>
          <w:color w:val="1A1A1A"/>
          <w:sz w:val="26"/>
          <w:szCs w:val="26"/>
        </w:rPr>
        <w:t xml:space="preserve">. The streetscape is also influenced by the prevalence of shops trading beyond the boundaries of their shops out onto the footpath. This gives the main street a “market-style”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feel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and look. Red and gold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trim are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also used on many shops which further contributes to the Asian-influenced streetscape. Temples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and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have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also influenced the streetscapes of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Cabramatta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with the use of gateways, stone statues, vibrant red, yellows, blues and gold.</w:t>
      </w:r>
    </w:p>
    <w:tbl>
      <w:tblPr>
        <w:tblStyle w:val="TableGrid"/>
        <w:tblW w:w="10541" w:type="dxa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2551"/>
        <w:gridCol w:w="2744"/>
      </w:tblGrid>
      <w:tr w:rsidR="00D707E1" w:rsidTr="008410B0">
        <w:trPr>
          <w:trHeight w:val="335"/>
        </w:trPr>
        <w:tc>
          <w:tcPr>
            <w:tcW w:w="2694" w:type="dxa"/>
          </w:tcPr>
          <w:p w:rsidR="00D707E1" w:rsidRDefault="00D707E1" w:rsidP="00D707E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socialise</w:t>
            </w:r>
            <w:proofErr w:type="spellEnd"/>
            <w:proofErr w:type="gramEnd"/>
          </w:p>
        </w:tc>
        <w:tc>
          <w:tcPr>
            <w:tcW w:w="2552" w:type="dxa"/>
          </w:tcPr>
          <w:p w:rsidR="00D707E1" w:rsidRDefault="00D707E1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culture</w:t>
            </w:r>
            <w:proofErr w:type="gramEnd"/>
          </w:p>
        </w:tc>
        <w:tc>
          <w:tcPr>
            <w:tcW w:w="2551" w:type="dxa"/>
          </w:tcPr>
          <w:p w:rsidR="00D707E1" w:rsidRDefault="00370F50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concentration</w:t>
            </w:r>
            <w:proofErr w:type="gramEnd"/>
          </w:p>
        </w:tc>
        <w:tc>
          <w:tcPr>
            <w:tcW w:w="2744" w:type="dxa"/>
          </w:tcPr>
          <w:p w:rsidR="00D707E1" w:rsidRDefault="00370F50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proportion</w:t>
            </w:r>
            <w:proofErr w:type="gramEnd"/>
          </w:p>
        </w:tc>
      </w:tr>
      <w:tr w:rsidR="00D707E1" w:rsidTr="008410B0">
        <w:trPr>
          <w:trHeight w:val="359"/>
        </w:trPr>
        <w:tc>
          <w:tcPr>
            <w:tcW w:w="2694" w:type="dxa"/>
          </w:tcPr>
          <w:p w:rsidR="00D707E1" w:rsidRDefault="00370F50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hubs</w:t>
            </w:r>
            <w:proofErr w:type="gramEnd"/>
          </w:p>
        </w:tc>
        <w:tc>
          <w:tcPr>
            <w:tcW w:w="2552" w:type="dxa"/>
          </w:tcPr>
          <w:p w:rsidR="00D707E1" w:rsidRDefault="00370F50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quiet</w:t>
            </w:r>
            <w:proofErr w:type="gramEnd"/>
          </w:p>
        </w:tc>
        <w:tc>
          <w:tcPr>
            <w:tcW w:w="2551" w:type="dxa"/>
          </w:tcPr>
          <w:p w:rsidR="00D707E1" w:rsidRDefault="00D707E1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bustling</w:t>
            </w:r>
            <w:proofErr w:type="gramEnd"/>
          </w:p>
        </w:tc>
        <w:tc>
          <w:tcPr>
            <w:tcW w:w="2744" w:type="dxa"/>
          </w:tcPr>
          <w:p w:rsidR="00D707E1" w:rsidRDefault="00370F50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residential</w:t>
            </w:r>
            <w:proofErr w:type="gramEnd"/>
          </w:p>
        </w:tc>
      </w:tr>
      <w:tr w:rsidR="00D707E1" w:rsidTr="008410B0">
        <w:trPr>
          <w:trHeight w:val="359"/>
        </w:trPr>
        <w:tc>
          <w:tcPr>
            <w:tcW w:w="2694" w:type="dxa"/>
          </w:tcPr>
          <w:p w:rsidR="00D707E1" w:rsidRDefault="00D707E1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activity</w:t>
            </w:r>
            <w:proofErr w:type="gramEnd"/>
          </w:p>
        </w:tc>
        <w:tc>
          <w:tcPr>
            <w:tcW w:w="2552" w:type="dxa"/>
          </w:tcPr>
          <w:p w:rsidR="00D707E1" w:rsidRDefault="00D707E1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Arabic</w:t>
            </w:r>
          </w:p>
        </w:tc>
        <w:tc>
          <w:tcPr>
            <w:tcW w:w="2551" w:type="dxa"/>
          </w:tcPr>
          <w:p w:rsidR="00D707E1" w:rsidRDefault="00370F50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children</w:t>
            </w:r>
            <w:proofErr w:type="gramEnd"/>
          </w:p>
        </w:tc>
        <w:tc>
          <w:tcPr>
            <w:tcW w:w="2744" w:type="dxa"/>
          </w:tcPr>
          <w:p w:rsidR="00D707E1" w:rsidRDefault="00D707E1" w:rsidP="00D707E1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community</w:t>
            </w:r>
            <w:proofErr w:type="gramEnd"/>
          </w:p>
        </w:tc>
      </w:tr>
    </w:tbl>
    <w:p w:rsidR="00C513EC" w:rsidRDefault="00C513EC" w:rsidP="00D707E1">
      <w:pPr>
        <w:widowControl w:val="0"/>
        <w:autoSpaceDE w:val="0"/>
        <w:autoSpaceDN w:val="0"/>
        <w:adjustRightInd w:val="0"/>
        <w:ind w:right="-858"/>
        <w:rPr>
          <w:rFonts w:ascii="Arial" w:hAnsi="Arial" w:cs="Arial"/>
          <w:color w:val="1A1A1A"/>
          <w:sz w:val="26"/>
          <w:szCs w:val="2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7800"/>
      </w:tblGrid>
      <w:tr w:rsidR="00C513EC">
        <w:tblPrEx>
          <w:tblCellMar>
            <w:top w:w="0" w:type="dxa"/>
            <w:bottom w:w="0" w:type="dxa"/>
          </w:tblCellMar>
        </w:tblPrEx>
        <w:tc>
          <w:tcPr>
            <w:tcW w:w="7800" w:type="dxa"/>
            <w:tcMar>
              <w:top w:w="300" w:type="nil"/>
              <w:right w:w="300" w:type="nil"/>
            </w:tcMar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left="-993" w:right="-858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00" w:type="dxa"/>
            <w:tcMar>
              <w:top w:w="300" w:type="nil"/>
              <w:right w:w="300" w:type="nil"/>
            </w:tcMar>
          </w:tcPr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left="-993" w:right="-858"/>
              <w:jc w:val="center"/>
              <w:rPr>
                <w:rFonts w:ascii="Arial" w:hAnsi="Arial" w:cs="Arial"/>
                <w:color w:val="1A1A1A"/>
              </w:rPr>
            </w:pPr>
          </w:p>
          <w:p w:rsidR="00C513EC" w:rsidRDefault="00C513EC" w:rsidP="00C513EC">
            <w:pPr>
              <w:widowControl w:val="0"/>
              <w:autoSpaceDE w:val="0"/>
              <w:autoSpaceDN w:val="0"/>
              <w:adjustRightInd w:val="0"/>
              <w:ind w:left="-993" w:right="-858"/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:rsidR="00C513EC" w:rsidRP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  <w:r w:rsidRPr="00C513EC">
        <w:rPr>
          <w:rFonts w:ascii="Arial" w:hAnsi="Arial" w:cs="Arial"/>
          <w:b/>
          <w:bCs/>
          <w:sz w:val="28"/>
          <w:szCs w:val="28"/>
        </w:rPr>
        <w:t>Street life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Street life in the city of Sydney is mainly determined by the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commercial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taking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place. During the day the city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is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with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workers from nearby businesses and tourists enjoying the sites of the city. At night the pubs, clubs, theatres and restaurants encourage people to use the city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to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and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relax.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 some suburbs the street life is influenced by the dominant ethnic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r>
        <w:rPr>
          <w:rFonts w:ascii="Arial" w:hAnsi="Arial" w:cs="Arial"/>
          <w:color w:val="1A1A1A"/>
          <w:sz w:val="26"/>
          <w:szCs w:val="26"/>
        </w:rPr>
        <w:t xml:space="preserve">. In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Kingsgrove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or Guildford, street life is influenced by the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large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population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, who like to congregate in the front yard, porch or in the garage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socialise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with those passing by. In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Leichhardt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the Italian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café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encourages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people to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socialise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in alfresco cafes. 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newer </w:t>
      </w:r>
      <w:r w:rsidR="00D707E1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D707E1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areas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with a young population street life is dominated by cars being washed, lawn mowed, bike riding, cricket games and children playing in parks. In other newer suburbs, the activity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of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is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contained within the house and street life is limited. 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color w:val="2B8887"/>
          <w:sz w:val="40"/>
          <w:szCs w:val="40"/>
        </w:rPr>
      </w:pPr>
    </w:p>
    <w:p w:rsidR="00C513EC" w:rsidRP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  <w:r w:rsidRPr="00C513EC">
        <w:rPr>
          <w:rFonts w:ascii="Arial" w:hAnsi="Arial" w:cs="Arial"/>
          <w:b/>
          <w:bCs/>
          <w:sz w:val="28"/>
          <w:szCs w:val="28"/>
        </w:rPr>
        <w:t>Energy and vitality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A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of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events, people and facilities can be found in the inner city of Sydney and other smaller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centres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within Sydney such as Parramatta. These locations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are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of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activity, exchanges of ideas, and social activities and as such foster energy and vitality. Greater concentration of venues such as hotels and theatres are also likely to be found in these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centres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and are likely extend activities into the night.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Suburbs with younger populations are found in the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Blacktown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Liverpool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Campbelltown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Local Government Areas and would tend to have more energy and vitality than those with older populations. The greying areas such as Pittwater, Hunter Hill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Kuringgai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are likely to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be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and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subdued.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P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513EC">
        <w:rPr>
          <w:rFonts w:ascii="Arial" w:hAnsi="Arial" w:cs="Arial"/>
          <w:b/>
          <w:bCs/>
          <w:sz w:val="28"/>
          <w:szCs w:val="28"/>
        </w:rPr>
        <w:t>Colour</w:t>
      </w:r>
      <w:proofErr w:type="spellEnd"/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Coastal suburbs can be association with blue and yellow, representing the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colours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of the water and sand. Suburbs located near large national parks or areas of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bushland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could be seen as green suburbs. This would include St Ives, North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Waroonga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North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Epping. However the real green suburbs are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those which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have been designed to integrate environmentally friendly initiatives, for example Newington. Other green areas are those that have a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high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of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green voters, common in the inner west.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370F50">
      <w:pPr>
        <w:widowControl w:val="0"/>
        <w:autoSpaceDE w:val="0"/>
        <w:autoSpaceDN w:val="0"/>
        <w:adjustRightInd w:val="0"/>
        <w:ind w:right="-858"/>
        <w:rPr>
          <w:rFonts w:ascii="Arial" w:hAnsi="Arial" w:cs="Arial"/>
          <w:color w:val="1A1A1A"/>
          <w:sz w:val="26"/>
          <w:szCs w:val="26"/>
        </w:rPr>
      </w:pPr>
    </w:p>
    <w:tbl>
      <w:tblPr>
        <w:tblStyle w:val="TableGrid"/>
        <w:tblW w:w="10476" w:type="dxa"/>
        <w:tblInd w:w="-9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370F50" w:rsidTr="008410B0">
        <w:trPr>
          <w:trHeight w:val="373"/>
        </w:trPr>
        <w:tc>
          <w:tcPr>
            <w:tcW w:w="2619" w:type="dxa"/>
          </w:tcPr>
          <w:p w:rsidR="00370F50" w:rsidRDefault="008410B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transporting</w:t>
            </w:r>
            <w:proofErr w:type="gramEnd"/>
          </w:p>
        </w:tc>
        <w:tc>
          <w:tcPr>
            <w:tcW w:w="2619" w:type="dxa"/>
          </w:tcPr>
          <w:p w:rsidR="00370F50" w:rsidRDefault="008410B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passenger</w:t>
            </w:r>
            <w:proofErr w:type="gramEnd"/>
          </w:p>
        </w:tc>
        <w:tc>
          <w:tcPr>
            <w:tcW w:w="2619" w:type="dxa"/>
          </w:tcPr>
          <w:p w:rsidR="00370F50" w:rsidRDefault="008410B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language</w:t>
            </w:r>
            <w:proofErr w:type="gramEnd"/>
          </w:p>
        </w:tc>
        <w:tc>
          <w:tcPr>
            <w:tcW w:w="2619" w:type="dxa"/>
          </w:tcPr>
          <w:p w:rsidR="00370F50" w:rsidRDefault="008410B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flight</w:t>
            </w:r>
            <w:proofErr w:type="gramEnd"/>
          </w:p>
        </w:tc>
      </w:tr>
      <w:tr w:rsidR="00370F50" w:rsidTr="008410B0">
        <w:trPr>
          <w:trHeight w:val="399"/>
        </w:trPr>
        <w:tc>
          <w:tcPr>
            <w:tcW w:w="2619" w:type="dxa"/>
          </w:tcPr>
          <w:p w:rsidR="00370F50" w:rsidRDefault="00370F5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construction</w:t>
            </w:r>
            <w:proofErr w:type="gramEnd"/>
          </w:p>
        </w:tc>
        <w:tc>
          <w:tcPr>
            <w:tcW w:w="2619" w:type="dxa"/>
          </w:tcPr>
          <w:p w:rsidR="00370F50" w:rsidRDefault="008410B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bordering</w:t>
            </w:r>
            <w:proofErr w:type="gramEnd"/>
          </w:p>
        </w:tc>
        <w:tc>
          <w:tcPr>
            <w:tcW w:w="2619" w:type="dxa"/>
          </w:tcPr>
          <w:p w:rsidR="00370F50" w:rsidRDefault="00370F5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noise</w:t>
            </w:r>
            <w:proofErr w:type="gramEnd"/>
          </w:p>
        </w:tc>
        <w:tc>
          <w:tcPr>
            <w:tcW w:w="2619" w:type="dxa"/>
          </w:tcPr>
          <w:p w:rsidR="00370F50" w:rsidRDefault="008410B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stereotypical</w:t>
            </w:r>
            <w:proofErr w:type="gramEnd"/>
          </w:p>
        </w:tc>
      </w:tr>
      <w:tr w:rsidR="00370F50" w:rsidTr="008410B0">
        <w:trPr>
          <w:trHeight w:val="399"/>
        </w:trPr>
        <w:tc>
          <w:tcPr>
            <w:tcW w:w="2619" w:type="dxa"/>
          </w:tcPr>
          <w:p w:rsidR="00370F50" w:rsidRDefault="008410B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transport</w:t>
            </w:r>
            <w:proofErr w:type="gramEnd"/>
          </w:p>
        </w:tc>
        <w:tc>
          <w:tcPr>
            <w:tcW w:w="2619" w:type="dxa"/>
          </w:tcPr>
          <w:p w:rsidR="00370F50" w:rsidRDefault="00370F5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experience</w:t>
            </w:r>
            <w:proofErr w:type="gramEnd"/>
          </w:p>
        </w:tc>
        <w:tc>
          <w:tcPr>
            <w:tcW w:w="2619" w:type="dxa"/>
          </w:tcPr>
          <w:p w:rsidR="00370F50" w:rsidRDefault="008410B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ocean</w:t>
            </w:r>
            <w:proofErr w:type="gramEnd"/>
          </w:p>
        </w:tc>
        <w:tc>
          <w:tcPr>
            <w:tcW w:w="2619" w:type="dxa"/>
          </w:tcPr>
          <w:p w:rsidR="00370F50" w:rsidRDefault="00370F50" w:rsidP="00C513EC">
            <w:pPr>
              <w:widowControl w:val="0"/>
              <w:autoSpaceDE w:val="0"/>
              <w:autoSpaceDN w:val="0"/>
              <w:adjustRightInd w:val="0"/>
              <w:ind w:right="-8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sought</w:t>
            </w:r>
            <w:proofErr w:type="gramEnd"/>
          </w:p>
        </w:tc>
      </w:tr>
      <w:bookmarkEnd w:id="0"/>
    </w:tbl>
    <w:p w:rsidR="00370F50" w:rsidRDefault="00370F50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</w:p>
    <w:p w:rsidR="00370F50" w:rsidRDefault="00370F50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</w:p>
    <w:p w:rsidR="00C513EC" w:rsidRP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  <w:r w:rsidRPr="00C513EC">
        <w:rPr>
          <w:rFonts w:ascii="Arial" w:hAnsi="Arial" w:cs="Arial"/>
          <w:b/>
          <w:bCs/>
          <w:sz w:val="28"/>
          <w:szCs w:val="28"/>
        </w:rPr>
        <w:t>Noise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Suburbs located close to the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city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range of noises. Traffic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and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noise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are common, and noises associated with the high density of residential and commercial land use. The large number of pubs and clubs also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create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problems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. Existing land uses can cause a problem for new resident in these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highly </w:t>
      </w:r>
      <w:r w:rsidR="00370F5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370F5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after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and expensive locations. For example residents in Milsons Point and McMahons Point made many complaints about the noise from rides at Luna Park. Properties close to the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Harbour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or Botany Bay may experience noise from naval vessels, container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and </w:t>
      </w:r>
      <w:r w:rsidR="008410B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410B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ships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, recreational boating, and jet skis. This may affect La Perouse, Point Piper and Darling Point. Suburbs located close to the ocean would experience the sounds of the </w:t>
      </w:r>
      <w:r w:rsidR="008410B0">
        <w:rPr>
          <w:rFonts w:ascii="Arial" w:hAnsi="Arial" w:cs="Arial"/>
          <w:color w:val="1A1A1A"/>
          <w:sz w:val="26"/>
          <w:szCs w:val="26"/>
        </w:rPr>
        <w:t>…………………..</w:t>
      </w:r>
      <w:r>
        <w:rPr>
          <w:rFonts w:ascii="Arial" w:hAnsi="Arial" w:cs="Arial"/>
          <w:color w:val="1A1A1A"/>
          <w:sz w:val="26"/>
          <w:szCs w:val="26"/>
        </w:rPr>
        <w:t xml:space="preserve">. This includes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Cronulla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Tamarama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Coogee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Bondi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Suburbs located underneath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the </w:t>
      </w:r>
      <w:r w:rsidR="008410B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410B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paths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from Sydney Airport are exposed to high levels of noise. This affects suburbs such as St Peters, Sydenham,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Marrickville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Stanmore,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Petersham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Leichhardt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Tempe, Mascot, Botany,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Kurnell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. Parts of suburbs located near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major </w:t>
      </w:r>
      <w:r w:rsidR="008410B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410B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routes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will also experience traffic, train and tram noise.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Suburbs </w:t>
      </w:r>
      <w:r w:rsidR="008410B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410B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industrial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areas or ports may be impacted by noise from heavy machinery and </w:t>
      </w:r>
      <w:r w:rsidR="008410B0">
        <w:rPr>
          <w:rFonts w:ascii="Arial" w:hAnsi="Arial" w:cs="Arial"/>
          <w:color w:val="1A1A1A"/>
          <w:sz w:val="26"/>
          <w:szCs w:val="26"/>
        </w:rPr>
        <w:t>…………………..</w:t>
      </w:r>
      <w:r w:rsidR="008410B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goods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. This would impact suburbs such as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Botany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,Smithfield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, Wetherill Park, Enfield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Chullora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 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P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b/>
          <w:bCs/>
          <w:sz w:val="28"/>
          <w:szCs w:val="28"/>
        </w:rPr>
      </w:pPr>
      <w:r w:rsidRPr="00C513EC">
        <w:rPr>
          <w:rFonts w:ascii="Arial" w:hAnsi="Arial" w:cs="Arial"/>
          <w:b/>
          <w:bCs/>
          <w:sz w:val="28"/>
          <w:szCs w:val="28"/>
        </w:rPr>
        <w:t>Lifestyles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The </w:t>
      </w:r>
      <w:r w:rsidR="008410B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410B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Sydneysider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spends a great deal of time on physical activity and sport and has a casual lifestyle. Sydney residents spend a fair proportion of their time in the outdoors, particularly in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Summer</w:t>
      </w:r>
      <w:proofErr w:type="gramEnd"/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 coastal areas this is coupled with a beach culture of hanging out on the sand or surfing. 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 some suburbs with strong multicultural influences, people are able to maintain cultural traditions from their country of birth, including food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, </w:t>
      </w:r>
      <w:r w:rsidR="008410B0">
        <w:rPr>
          <w:rFonts w:ascii="Arial" w:hAnsi="Arial" w:cs="Arial"/>
          <w:color w:val="1A1A1A"/>
          <w:sz w:val="26"/>
          <w:szCs w:val="26"/>
        </w:rPr>
        <w:t>…………………..</w:t>
      </w:r>
      <w:proofErr w:type="gramEnd"/>
      <w:r w:rsidR="008410B0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and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customs. </w:t>
      </w:r>
    </w:p>
    <w:p w:rsidR="00C513EC" w:rsidRDefault="00C513EC" w:rsidP="00C513EC">
      <w:pPr>
        <w:widowControl w:val="0"/>
        <w:autoSpaceDE w:val="0"/>
        <w:autoSpaceDN w:val="0"/>
        <w:adjustRightInd w:val="0"/>
        <w:ind w:left="-993" w:right="-858"/>
        <w:rPr>
          <w:rFonts w:ascii="Arial" w:hAnsi="Arial" w:cs="Arial"/>
          <w:color w:val="1A1A1A"/>
        </w:rPr>
      </w:pPr>
    </w:p>
    <w:p w:rsidR="007F7050" w:rsidRDefault="007F7050" w:rsidP="00C513EC">
      <w:pPr>
        <w:ind w:left="-993" w:right="-858"/>
      </w:pPr>
    </w:p>
    <w:sectPr w:rsidR="007F7050" w:rsidSect="00C513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C"/>
    <w:rsid w:val="00370F50"/>
    <w:rsid w:val="007F7050"/>
    <w:rsid w:val="008410B0"/>
    <w:rsid w:val="008A4D6C"/>
    <w:rsid w:val="00C513EC"/>
    <w:rsid w:val="00D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5B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1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1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1757</Words>
  <Characters>10021</Characters>
  <Application>Microsoft Macintosh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2014-03-09T03:38:00Z</dcterms:created>
  <dcterms:modified xsi:type="dcterms:W3CDTF">2014-03-09T04:27:00Z</dcterms:modified>
</cp:coreProperties>
</file>